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3E83" w14:textId="1FF01697" w:rsidR="001F4A29" w:rsidRPr="00D8351F" w:rsidRDefault="0033788F" w:rsidP="003378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8351F">
        <w:rPr>
          <w:rFonts w:ascii="Calibri" w:hAnsi="Calibri" w:cs="Calibri"/>
          <w:b/>
          <w:bCs/>
          <w:color w:val="1F4E79"/>
          <w:sz w:val="24"/>
          <w:szCs w:val="24"/>
        </w:rPr>
        <w:t>ΛΙΣΤΑ</w:t>
      </w:r>
      <w:r w:rsidR="005C5C0C" w:rsidRPr="00D8351F">
        <w:rPr>
          <w:rFonts w:ascii="Calibri" w:hAnsi="Calibri" w:cs="Calibri"/>
          <w:b/>
          <w:bCs/>
          <w:color w:val="1F4E79"/>
          <w:sz w:val="24"/>
          <w:szCs w:val="24"/>
        </w:rPr>
        <w:t xml:space="preserve"> ΔΙΚΑΙΟΛΟΓΗΤΙΚΩΝ ΣΥΜΜΕΤΟΧΗΣ</w:t>
      </w:r>
      <w:r w:rsidRPr="00D8351F">
        <w:rPr>
          <w:rFonts w:ascii="Calibri" w:hAnsi="Calibri" w:cs="Calibri"/>
          <w:b/>
          <w:bCs/>
          <w:color w:val="1F4E79"/>
          <w:sz w:val="24"/>
          <w:szCs w:val="24"/>
        </w:rPr>
        <w:t xml:space="preserve"> ΚΑΙ ΚΑΤΑΚΥΡΩΣΗΣ</w:t>
      </w:r>
    </w:p>
    <w:p w14:paraId="085390A7" w14:textId="77777777" w:rsidR="00EE4440" w:rsidRPr="00EE4440" w:rsidRDefault="00EE4440" w:rsidP="00EE4440">
      <w:pPr>
        <w:spacing w:after="60"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  <w:b/>
          <w:bCs/>
          <w:color w:val="444444"/>
        </w:rPr>
        <w:t>Διακήρυξη 1/2026</w:t>
      </w:r>
    </w:p>
    <w:p w14:paraId="08E11097" w14:textId="77777777" w:rsidR="00EE4440" w:rsidRPr="00EE4440" w:rsidRDefault="00EE4440" w:rsidP="00EE4440">
      <w:pPr>
        <w:pBdr>
          <w:bottom w:val="single" w:sz="6" w:space="1" w:color="1F4E79"/>
        </w:pBdr>
        <w:spacing w:after="300"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  <w:i/>
          <w:iCs/>
          <w:color w:val="666666"/>
        </w:rPr>
        <w:t>Υπηρεσίες επιτήρησης λιγνιτωρυχείων Βεύης Δήμου Φλώρινας και Βεγόρας Δήμου Αμυνταίου</w:t>
      </w:r>
    </w:p>
    <w:p w14:paraId="3D4633FE" w14:textId="77777777" w:rsidR="00EE4440" w:rsidRPr="00EE4440" w:rsidRDefault="00EE4440" w:rsidP="00EE4440">
      <w:pPr>
        <w:spacing w:before="200" w:after="300"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  <w:b/>
          <w:bCs/>
          <w:color w:val="C00000"/>
          <w:u w:val="single"/>
        </w:rPr>
        <w:t>Σημείωση:</w:t>
      </w:r>
      <w:r w:rsidRPr="00EE4440">
        <w:rPr>
          <w:rFonts w:ascii="Calibri" w:hAnsi="Calibri" w:cs="Calibri"/>
          <w:b/>
          <w:bCs/>
          <w:color w:val="C00000"/>
        </w:rPr>
        <w:t xml:space="preserve"> </w:t>
      </w:r>
      <w:r w:rsidRPr="00EE4440">
        <w:rPr>
          <w:rFonts w:ascii="Calibri" w:hAnsi="Calibri" w:cs="Calibri"/>
        </w:rPr>
        <w:t>Με ποινή αποκλεισμού υποβάλλονται μόνο τα έγγραφα των ενοτήτων Α, Β και Γ. Τα υπόλοιπα δικαιολογητικά (ενότητες Δ–Ζ) υποβάλλονται από τον προσωρινό ανάδοχο κατόπιν πρόσκλησης.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00"/>
      </w:tblGrid>
      <w:tr w:rsidR="00EE4440" w:rsidRPr="00EE4440" w14:paraId="744AD3A3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456785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6A147C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Α. ΥΠΟΧΡΕΩΤΙΚΑ ΕΓΓΡΑΦΑ (με ποινή αποκλεισμού) — Υποβάλλονται κατά την υποβολή προσφοράς</w:t>
            </w:r>
          </w:p>
        </w:tc>
      </w:tr>
      <w:tr w:rsidR="00EE4440" w:rsidRPr="00EE4440" w14:paraId="15367041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5FF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C3CA32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1. Ευρωπαϊκό Ενιαίο Έγγραφο Σύμβασης (ΕΕΕΣ)</w:t>
            </w:r>
          </w:p>
          <w:p w14:paraId="3D4B84E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Συμπληρωμένο ηλεκτρονικά μέσω espd.eprocurement.gov.gr ή συμβατής πλατφόρμας. Υποβάλλεται ψηφιακά υπογεγραμμένο σε μορφότυπο PDF.</w:t>
            </w:r>
          </w:p>
        </w:tc>
      </w:tr>
      <w:tr w:rsidR="00EE4440" w:rsidRPr="00EE4440" w14:paraId="6E0FD038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D3B6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35C33A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2. Συνοδευτική Υπεύθυνη Δήλωση επί του ΕΕΕΣ (εφόσον απαιτείται)</w:t>
            </w:r>
          </w:p>
          <w:p w14:paraId="7335B28D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Για τυχόν διευκρινίσεις επί των δηλώσεων του ΕΕΕΣ (άρθρο 79 παρ. 9 ν. 4412/2016).</w:t>
            </w:r>
          </w:p>
        </w:tc>
      </w:tr>
      <w:tr w:rsidR="00EE4440" w:rsidRPr="00EE4440" w14:paraId="4BFDAF44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3DE11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5B176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3. Εγγυητική Επιστολή Συμμετοχής ποσού €962,20</w:t>
            </w:r>
          </w:p>
          <w:p w14:paraId="5B9DB38A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Ισχύς τουλάχιστον 30 ημέρες μετά τη λήξη ισχύος της προσφοράς (10 μήνες) και συγκεκριμένα τουλάχιστον μέχρι 09/03/2027. Οι πρωτότυπες (μη ηλεκτρονικές) εγγυήσεις προσκομίζονται σε κλειστό φάκελο πριν την αποσφράγιση.</w:t>
            </w:r>
          </w:p>
        </w:tc>
      </w:tr>
      <w:tr w:rsidR="00EE4440" w:rsidRPr="00EE4440" w14:paraId="7A8995DA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39A06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CAEA4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Β. ΤΕΧΝΙΚΗ ΠΡΟΣΦΟΡΑ — Υποβάλλεται κατά την υποβολή προσφοράς</w:t>
            </w:r>
          </w:p>
        </w:tc>
      </w:tr>
      <w:tr w:rsidR="00EE4440" w:rsidRPr="00EE4440" w14:paraId="6E4CB478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6CF0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80D25A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4. Τεχνική Προσφορά</w:t>
            </w:r>
          </w:p>
          <w:p w14:paraId="071290E1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Περιγράφει πώς πληρούνται οι απαιτήσεις &amp; τεχνικές προδιαγραφές των Παραρτημάτων Ι και ΙΙ της Διακήρυξης 1/2026.</w:t>
            </w:r>
          </w:p>
        </w:tc>
      </w:tr>
      <w:tr w:rsidR="00EE4440" w:rsidRPr="00EE4440" w14:paraId="2970A96D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44A4B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92EBE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Γ. ΟΙΚΟΝΟΜΙΚΗ ΠΡΟΣΦΟΡΑ — Υποβάλλεται κατά την υποβολή προσφοράς</w:t>
            </w:r>
          </w:p>
        </w:tc>
      </w:tr>
      <w:tr w:rsidR="00EE4440" w:rsidRPr="00EE4440" w14:paraId="1AFEB6D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09064" w14:textId="77777777" w:rsidR="00EE4440" w:rsidRPr="00EE4440" w:rsidRDefault="00EE4440" w:rsidP="00EE4440">
            <w:pPr>
              <w:jc w:val="both"/>
              <w:rPr>
                <w:rFonts w:ascii="Segoe UI Symbol" w:hAnsi="Segoe UI Symbol" w:cs="Segoe UI Symbol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650255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5. Οικονομική Προσφορά</w:t>
            </w:r>
          </w:p>
          <w:p w14:paraId="1BB572B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Σύμφωνα με το υπόδειγμα του Παραρτήματος V</w:t>
            </w:r>
          </w:p>
        </w:tc>
      </w:tr>
      <w:tr w:rsidR="00EE4440" w:rsidRPr="00EE4440" w14:paraId="216BFED8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B920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11583BF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Δ. ΔΙΚΑΙΟΛΟΓΗΤΙΚΑ ΜΗ ΑΠΟΚΛΕΙΣΜΟΥ — Υποβάλλονται από τον Προσωρινό Ανάδοχο</w:t>
            </w:r>
          </w:p>
        </w:tc>
      </w:tr>
      <w:tr w:rsidR="00EE4440" w:rsidRPr="00EE4440" w14:paraId="049C2DB2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C70BF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1E25C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1F4E79"/>
              </w:rPr>
              <w:t>Δ1. Ποινικό Μητρώο (άρθρο 2.2.3.1)</w:t>
            </w:r>
          </w:p>
        </w:tc>
      </w:tr>
      <w:tr w:rsidR="00EE4440" w:rsidRPr="00EE4440" w14:paraId="51A071BF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1B67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10F06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6. Απόσπασμα Ποινικού Μητρώου</w:t>
            </w:r>
          </w:p>
          <w:p w14:paraId="57E39A3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Έκδοση εντός 3 μηνών πριν την υποβολή. Αφορά και τα μέλη ΔΣ / νόμιμους εκπροσώπους / πρόσωπα με εξουσία λήψης αποφάσεων.</w:t>
            </w:r>
          </w:p>
        </w:tc>
      </w:tr>
      <w:tr w:rsidR="00EE4440" w:rsidRPr="00EE4440" w14:paraId="649EAE03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87B9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8EA031A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7. Ένορκη βεβαίωση νόμιμου εκπροσώπου για ποινική ευθύνη νομικού προσώπου (αδικήματα δωροδοκίας)</w:t>
            </w:r>
          </w:p>
          <w:p w14:paraId="448605F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Για νομικά πρόσωπα/οντότητες εγκατεστημένα στην Ελλάδα — βάσει άρθρων 134-135 Ν.5090/2024.</w:t>
            </w:r>
          </w:p>
        </w:tc>
      </w:tr>
      <w:tr w:rsidR="00EE4440" w:rsidRPr="00EE4440" w14:paraId="2B52FE2E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6A38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63C1DE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1F4E79"/>
              </w:rPr>
              <w:t>Δ2. Φορολογική &amp; Ασφαλιστική Ενημερότητα (άρθρο 2.2.3.2)</w:t>
            </w:r>
          </w:p>
        </w:tc>
      </w:tr>
      <w:tr w:rsidR="00EE4440" w:rsidRPr="00EE4440" w14:paraId="1B3FB4AE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E027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AE0EA8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8. Αποδεικτικό Φορολογικής Ενημερότητας (ΑΑΔΕ)</w:t>
            </w:r>
          </w:p>
          <w:p w14:paraId="1191A3A5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Σε ισχύ κατά τον χρόνο υποβολής, ή βεβαίωση οφειλής (περ. β').</w:t>
            </w:r>
          </w:p>
        </w:tc>
      </w:tr>
      <w:tr w:rsidR="00EE4440" w:rsidRPr="00EE4440" w14:paraId="63ACE5F1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3327A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3B4662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9. Πιστοποιητικό Ασφαλιστικής Ενημερότητας (e-ΕΦΚΑ)</w:t>
            </w:r>
          </w:p>
          <w:p w14:paraId="6AC005D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Σε ισχύ κατά τον χρόνο υποβολής, ή βεβαίωση οφειλής (περ. β').</w:t>
            </w:r>
          </w:p>
        </w:tc>
      </w:tr>
      <w:tr w:rsidR="00EE4440" w:rsidRPr="00EE4440" w14:paraId="202D7AE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E2A6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3ADF28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10. Υπεύθυνη Δήλωση περί μη ύπαρξης τελεσίδικης δικαστικής/διοικητικής απόφασης για αθέτηση φορολογικών/ασφαλιστικών υποχρεώσεων</w:t>
            </w:r>
          </w:p>
          <w:p w14:paraId="433D428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Για την παράγραφο 2.2.3.2 περ. α'.</w:t>
            </w:r>
          </w:p>
        </w:tc>
      </w:tr>
      <w:tr w:rsidR="00EE4440" w:rsidRPr="00EE4440" w14:paraId="5D3B558D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0A532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5E2842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1F4E79"/>
              </w:rPr>
              <w:t>Δ3. Φερεγγυότητα — Μη πτώχευση (άρθρο 2.2.3.4 περ. β')</w:t>
            </w:r>
          </w:p>
        </w:tc>
      </w:tr>
      <w:tr w:rsidR="00EE4440" w:rsidRPr="00EE4440" w14:paraId="416010F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DD97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D9B8802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11. Ενιαίο Πιστοποιητικό Δικαστικής Φερεγγυότητας (Πρωτοδικείο)</w:t>
            </w:r>
          </w:p>
          <w:p w14:paraId="02BDAB4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Πιστοποιεί μη πτώχευση, μη αναγκαστική διαχείριση, μη εκκαθάριση, μη εξυγίανση. Για ΙΚΕ: επιπλέον πιστοποιητικό ΓΕΜΗ περί μη λύσης. Για ΕΠΕ: επιπλέον πιστοποιητικό μεταβολών.</w:t>
            </w:r>
          </w:p>
        </w:tc>
      </w:tr>
      <w:tr w:rsidR="00EE4440" w:rsidRPr="00EE4440" w14:paraId="6FCA3194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7B59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7E34E1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12. Πιστοποιητικό ΓΕΜΗ περί μη λύσης νομικού προσώπου</w:t>
            </w:r>
          </w:p>
          <w:p w14:paraId="48BF591B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Έκδοση εντός 3 μηνών πριν την υποβολή.</w:t>
            </w:r>
          </w:p>
        </w:tc>
      </w:tr>
      <w:tr w:rsidR="00EE4440" w:rsidRPr="00EE4440" w14:paraId="4607987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CF3A0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97B1A8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13. Εκτύπωση «Στοιχεία Μητρώου/Επιχείρησης» από taxisnet</w:t>
            </w:r>
          </w:p>
          <w:p w14:paraId="12B5082E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Πιστοποιεί μη αναστολή επιχειρηματικής δραστηριότητας.</w:t>
            </w:r>
          </w:p>
        </w:tc>
      </w:tr>
      <w:tr w:rsidR="00EE4440" w:rsidRPr="00EE4440" w14:paraId="5297D971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0D9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049A72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14. Υπεύθυνη Δήλωση για λοιπούς λόγους αποκλεισμού (άρθρο 2.2.3.4 λοιπές περ.)</w:t>
            </w:r>
          </w:p>
          <w:p w14:paraId="249DBE3C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Δήλωση ότι δεν συντρέχουν οι λόγοι αποκλεισμού της παραγράφου.</w:t>
            </w:r>
          </w:p>
        </w:tc>
      </w:tr>
      <w:tr w:rsidR="00EE4440" w:rsidRPr="00EE4440" w14:paraId="7C69E009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D9D8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C10A62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15. Υπεύθυνη Δήλωση περί μη επιβολής οριζόντιου αποκλεισμού (άρθρο 2.2.3.9)</w:t>
            </w:r>
          </w:p>
          <w:p w14:paraId="65C2C76F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Δήλωση ότι δεν έχει επιβληθεί κύρωση οριζόντιου αποκλεισμού.</w:t>
            </w:r>
          </w:p>
        </w:tc>
      </w:tr>
      <w:tr w:rsidR="00EE4440" w:rsidRPr="00EE4440" w14:paraId="4E72B27B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C4BCFF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A9342B4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Ε. ΕΠΑΓΓΕΛΜΑΤΙΚΗ ΚΑΤΑΛΛΗΛΟΤΗΤΑ — Υποβάλλεται από τον Προσωρινό Ανάδοχο</w:t>
            </w:r>
          </w:p>
        </w:tc>
      </w:tr>
      <w:tr w:rsidR="00EE4440" w:rsidRPr="00EE4440" w14:paraId="6B344222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5F04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D4F943C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16. Βεβαίωση/Πιστοποιητικό εγγραφής σε επαγγελματικό ή εμπορικό μητρώο (ΓΕΜΗ)</w:t>
            </w:r>
          </w:p>
          <w:p w14:paraId="60F67D5D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Έκδοση εντός 30 εργάσιμων ημερών πριν την υποβολή (εκτός αν αναγράφει συγκεκριμένο χρόνο ισχύος).</w:t>
            </w:r>
          </w:p>
        </w:tc>
      </w:tr>
      <w:tr w:rsidR="00EE4440" w:rsidRPr="00EE4440" w14:paraId="1A56F292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D9FB0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B800BF2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ΣΤ. ΤΕΧΝΙΚΗ ΙΚΑΝΟΤΗΤΑ — Υποβάλλεται από τον Προσωρινό Ανάδοχο</w:t>
            </w:r>
          </w:p>
        </w:tc>
      </w:tr>
      <w:tr w:rsidR="00EE4440" w:rsidRPr="00EE4440" w14:paraId="2AEACA85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4929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98BCF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 xml:space="preserve">17. Υπεύθυνη Δήλωση τεχνικής επάρκειας </w:t>
            </w:r>
          </w:p>
          <w:p w14:paraId="669631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 xml:space="preserve">Δήλωση ότι: (α) διαθέτει 4x4 εκτός δρόμου όχημα, (β) τηρεί σύστημα καταγραφής έναρξης/λήξης επιθεωρήσεων με </w:t>
            </w:r>
            <w:proofErr w:type="spellStart"/>
            <w:r w:rsidRPr="00EE4440">
              <w:rPr>
                <w:rFonts w:ascii="Calibri" w:hAnsi="Calibri" w:cs="Calibri"/>
                <w:i/>
                <w:iCs/>
                <w:color w:val="555555"/>
              </w:rPr>
              <w:t>checkpoints</w:t>
            </w:r>
            <w:proofErr w:type="spellEnd"/>
            <w:r w:rsidRPr="00EE4440">
              <w:rPr>
                <w:rFonts w:ascii="Calibri" w:hAnsi="Calibri" w:cs="Calibri"/>
                <w:i/>
                <w:iCs/>
                <w:color w:val="555555"/>
              </w:rPr>
              <w:t xml:space="preserve">, (γ) τηρεί σύστημα </w:t>
            </w:r>
            <w:proofErr w:type="spellStart"/>
            <w:r w:rsidRPr="00EE4440">
              <w:rPr>
                <w:rFonts w:ascii="Calibri" w:hAnsi="Calibri" w:cs="Calibri"/>
                <w:i/>
                <w:iCs/>
                <w:color w:val="555555"/>
              </w:rPr>
              <w:t>real-time</w:t>
            </w:r>
            <w:proofErr w:type="spellEnd"/>
            <w:r w:rsidRPr="00EE4440">
              <w:rPr>
                <w:rFonts w:ascii="Calibri" w:hAnsi="Calibri" w:cs="Calibri"/>
                <w:i/>
                <w:iCs/>
                <w:color w:val="555555"/>
              </w:rPr>
              <w:t xml:space="preserve"> παρακολούθησης/γεωγραφικής απεικόνισης με χορήγηση δικαιωμάτων πρόσβασης, (δ) εφαρμόζει Βιβλίο Καταγραφής Συμβάντων.</w:t>
            </w:r>
          </w:p>
        </w:tc>
      </w:tr>
      <w:tr w:rsidR="00EE4440" w:rsidRPr="00EE4440" w14:paraId="48E251A0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82B5C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3541023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18. Ασφαλιστήριο Γενικής Αστικής Ευθύνης σε ισχύ</w:t>
            </w:r>
          </w:p>
          <w:p w14:paraId="1AFBCC8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Κάλυψη τουλάχιστον €300.000 ανά συμβάν και τουλάχιστον €500.000 κατ' έτος, καθ' όλη τη διάρκεια της σύμβασης.</w:t>
            </w:r>
          </w:p>
        </w:tc>
      </w:tr>
      <w:tr w:rsidR="00EE4440" w:rsidRPr="00EE4440" w14:paraId="3078C975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24742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E548A8A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19. Ασφαλιστήριο Επαγγελματικής Αστικής Ευθύνης σε ισχύ</w:t>
            </w:r>
          </w:p>
          <w:p w14:paraId="7C53A89F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Κάλυψη τουλάχιστον €100.000 ανά συμβάν και τουλάχιστον €200.000 κατ' έτος, καθ' όλη τη διάρκεια της σύμβασης.</w:t>
            </w:r>
          </w:p>
        </w:tc>
      </w:tr>
      <w:tr w:rsidR="00EE4440" w:rsidRPr="00EE4440" w14:paraId="66561D5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D5645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97771D1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b/>
                <w:bCs/>
                <w:color w:val="FFFFFF"/>
              </w:rPr>
              <w:t>Ζ. ΝΟΜΙΜΗ ΕΚΠΡΟΣΩΠΗΣΗ &amp; ΝΟΜΙΜΗ ΣΥΣΤΑΣΗ — Υποβάλλεται από τον Προσωρινό Ανάδοχο</w:t>
            </w:r>
          </w:p>
        </w:tc>
      </w:tr>
      <w:tr w:rsidR="00EE4440" w:rsidRPr="00EE4440" w14:paraId="3E1B99A9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078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D006EC8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20. Αναλυτικό Πιστοποιητικό Ισχύουσας Εκπροσώπησης (ΓΕΜΗ)</w:t>
            </w:r>
          </w:p>
          <w:p w14:paraId="74A6CD36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Έκδοση εντός 30 εργάσιμων ημερών πριν την υποβολή.</w:t>
            </w:r>
          </w:p>
        </w:tc>
      </w:tr>
      <w:tr w:rsidR="00EE4440" w:rsidRPr="00EE4440" w14:paraId="30C99DF7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2CAC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89FAB9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21. Γενικό Πιστοποιητικό Μεταβολών ΓΕΜΗ (νόμιμη σύσταση και μεταβολές)</w:t>
            </w:r>
          </w:p>
          <w:p w14:paraId="3E648185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Έκδοση εντός 3 μηνών πριν την υποβολή.</w:t>
            </w:r>
          </w:p>
        </w:tc>
      </w:tr>
      <w:tr w:rsidR="00EE4440" w:rsidRPr="00EE4440" w14:paraId="131678EF" w14:textId="77777777" w:rsidTr="002D41EF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DCD9E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860BC7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</w:rPr>
              <w:t>22. Λοιπά νομιμοποιητικά έγγραφα (εάν δεν καλύπτονται από τα ανωτέρω)</w:t>
            </w:r>
          </w:p>
          <w:p w14:paraId="167EA1EB" w14:textId="77777777" w:rsidR="00EE4440" w:rsidRPr="00EE4440" w:rsidRDefault="00EE4440" w:rsidP="00EE4440">
            <w:pPr>
              <w:jc w:val="both"/>
              <w:rPr>
                <w:rFonts w:ascii="Calibri" w:hAnsi="Calibri" w:cs="Calibri"/>
              </w:rPr>
            </w:pPr>
            <w:r w:rsidRPr="00EE4440">
              <w:rPr>
                <w:rFonts w:ascii="Calibri" w:hAnsi="Calibri" w:cs="Calibri"/>
                <w:i/>
                <w:iCs/>
                <w:color w:val="555555"/>
              </w:rPr>
              <w:t>Π.χ. καταστατικά, ΦΕΚ, αποφάσεις ΔΣ, εξουσιοδοτήσεις — συνοδευόμενα από Υπεύθυνη Δήλωση εξακολούθησης ισχύος.</w:t>
            </w:r>
          </w:p>
        </w:tc>
      </w:tr>
    </w:tbl>
    <w:p w14:paraId="602A2404" w14:textId="77777777" w:rsidR="00EE4440" w:rsidRPr="00EE4440" w:rsidRDefault="00EE4440" w:rsidP="00EE4440">
      <w:pPr>
        <w:pBdr>
          <w:top w:val="single" w:sz="4" w:space="1" w:color="1F4E79"/>
        </w:pBdr>
        <w:spacing w:before="120" w:after="60"/>
        <w:jc w:val="both"/>
        <w:rPr>
          <w:rFonts w:ascii="Calibri" w:hAnsi="Calibri" w:cs="Calibri"/>
          <w:b/>
          <w:bCs/>
          <w:color w:val="1F4E79"/>
        </w:rPr>
      </w:pPr>
      <w:r w:rsidRPr="00EE4440">
        <w:rPr>
          <w:rFonts w:ascii="Calibri" w:hAnsi="Calibri" w:cs="Calibri"/>
          <w:b/>
          <w:bCs/>
          <w:color w:val="1F4E79"/>
        </w:rPr>
        <w:t>Σημειώσεις για αλλοδαπούς οικονομικούς φορείς:</w:t>
      </w:r>
    </w:p>
    <w:p w14:paraId="4BB49A53" w14:textId="77777777" w:rsidR="00EE4440" w:rsidRPr="00EE4440" w:rsidRDefault="00EE4440" w:rsidP="00EE4440">
      <w:pPr>
        <w:numPr>
          <w:ilvl w:val="0"/>
          <w:numId w:val="2"/>
        </w:numPr>
        <w:pBdr>
          <w:top w:val="single" w:sz="4" w:space="1" w:color="1F4E79"/>
        </w:pBdr>
        <w:suppressAutoHyphens/>
        <w:spacing w:before="120" w:after="60"/>
        <w:contextualSpacing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</w:rPr>
        <w:t>Αλλοδαπά δημόσια έγγραφα φέρουν επισημείωση Χάγης (Apostille) ή προξενική θεώρηση (ή επικύρωση από δικηγόρο).</w:t>
      </w:r>
    </w:p>
    <w:p w14:paraId="6A913911" w14:textId="77777777" w:rsidR="00EE4440" w:rsidRPr="00EE4440" w:rsidRDefault="00EE4440" w:rsidP="00EE4440">
      <w:pPr>
        <w:numPr>
          <w:ilvl w:val="0"/>
          <w:numId w:val="2"/>
        </w:numPr>
        <w:pBdr>
          <w:top w:val="single" w:sz="4" w:space="1" w:color="1F4E79"/>
        </w:pBdr>
        <w:suppressAutoHyphens/>
        <w:spacing w:before="120" w:after="60"/>
        <w:contextualSpacing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</w:rPr>
        <w:t>Απαλλάσσονται από Apostille έγγραφα κρατών-μελών ΕΕ που εμπίπτουν στον Κανονισμό ΕΕ 2016/1191.</w:t>
      </w:r>
    </w:p>
    <w:p w14:paraId="604735FD" w14:textId="77777777" w:rsidR="00EE4440" w:rsidRPr="00EE4440" w:rsidRDefault="00EE4440" w:rsidP="00EE4440">
      <w:pPr>
        <w:numPr>
          <w:ilvl w:val="0"/>
          <w:numId w:val="2"/>
        </w:numPr>
        <w:pBdr>
          <w:top w:val="single" w:sz="4" w:space="1" w:color="1F4E79"/>
        </w:pBdr>
        <w:suppressAutoHyphens/>
        <w:spacing w:before="120" w:after="60"/>
        <w:contextualSpacing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</w:rPr>
        <w:lastRenderedPageBreak/>
        <w:t>Όλα τα έγγραφα συντάσσονται στην ελληνική γλώσσα ή συνοδεύονται από επίσημη μετάφραση.</w:t>
      </w:r>
    </w:p>
    <w:p w14:paraId="26EF0B92" w14:textId="77777777" w:rsidR="00EE4440" w:rsidRPr="00EE4440" w:rsidRDefault="00EE4440" w:rsidP="00EE4440">
      <w:pPr>
        <w:numPr>
          <w:ilvl w:val="0"/>
          <w:numId w:val="2"/>
        </w:numPr>
        <w:pBdr>
          <w:top w:val="single" w:sz="4" w:space="1" w:color="1F4E79"/>
        </w:pBdr>
        <w:suppressAutoHyphens/>
        <w:spacing w:before="120" w:after="60"/>
        <w:contextualSpacing/>
        <w:jc w:val="both"/>
        <w:rPr>
          <w:rFonts w:ascii="Calibri" w:hAnsi="Calibri" w:cs="Calibri"/>
        </w:rPr>
      </w:pPr>
      <w:r w:rsidRPr="00EE4440">
        <w:rPr>
          <w:rFonts w:ascii="Calibri" w:hAnsi="Calibri" w:cs="Calibri"/>
        </w:rPr>
        <w:t>Εφόσον το κράτος εγκατάστασης δεν εκδίδει τα ανωτέρω πιστοποιητικά, αντικαθίστανται από ένορκη βεβαίωση ή υπεύθυνη δήλωση ενώπιον αρμόδιας αρχής.</w:t>
      </w:r>
    </w:p>
    <w:p w14:paraId="162447B4" w14:textId="325F2D24" w:rsidR="001F4A29" w:rsidRPr="00D8351F" w:rsidRDefault="001F4A29" w:rsidP="00EE4440">
      <w:pPr>
        <w:spacing w:after="60"/>
        <w:jc w:val="both"/>
        <w:rPr>
          <w:rFonts w:ascii="Calibri" w:hAnsi="Calibri" w:cs="Calibri"/>
        </w:rPr>
      </w:pPr>
    </w:p>
    <w:sectPr w:rsidR="001F4A29" w:rsidRPr="00D8351F" w:rsidSect="00D8351F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5C5"/>
    <w:multiLevelType w:val="hybridMultilevel"/>
    <w:tmpl w:val="C6C27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80009"/>
    <w:multiLevelType w:val="hybridMultilevel"/>
    <w:tmpl w:val="ECA4CCE4"/>
    <w:lvl w:ilvl="0" w:tplc="BA665AEC">
      <w:start w:val="1"/>
      <w:numFmt w:val="bullet"/>
      <w:lvlText w:val="●"/>
      <w:lvlJc w:val="left"/>
      <w:pPr>
        <w:ind w:left="720" w:hanging="360"/>
      </w:pPr>
    </w:lvl>
    <w:lvl w:ilvl="1" w:tplc="98184364">
      <w:start w:val="1"/>
      <w:numFmt w:val="bullet"/>
      <w:lvlText w:val="○"/>
      <w:lvlJc w:val="left"/>
      <w:pPr>
        <w:ind w:left="1440" w:hanging="360"/>
      </w:pPr>
    </w:lvl>
    <w:lvl w:ilvl="2" w:tplc="E8FA63E8">
      <w:start w:val="1"/>
      <w:numFmt w:val="bullet"/>
      <w:lvlText w:val="■"/>
      <w:lvlJc w:val="left"/>
      <w:pPr>
        <w:ind w:left="2160" w:hanging="360"/>
      </w:pPr>
    </w:lvl>
    <w:lvl w:ilvl="3" w:tplc="39C24056">
      <w:start w:val="1"/>
      <w:numFmt w:val="bullet"/>
      <w:lvlText w:val="●"/>
      <w:lvlJc w:val="left"/>
      <w:pPr>
        <w:ind w:left="2880" w:hanging="360"/>
      </w:pPr>
    </w:lvl>
    <w:lvl w:ilvl="4" w:tplc="A552DC30">
      <w:start w:val="1"/>
      <w:numFmt w:val="bullet"/>
      <w:lvlText w:val="○"/>
      <w:lvlJc w:val="left"/>
      <w:pPr>
        <w:ind w:left="3600" w:hanging="360"/>
      </w:pPr>
    </w:lvl>
    <w:lvl w:ilvl="5" w:tplc="AB5A06F2">
      <w:start w:val="1"/>
      <w:numFmt w:val="bullet"/>
      <w:lvlText w:val="■"/>
      <w:lvlJc w:val="left"/>
      <w:pPr>
        <w:ind w:left="4320" w:hanging="360"/>
      </w:pPr>
    </w:lvl>
    <w:lvl w:ilvl="6" w:tplc="B9AC6C9E">
      <w:start w:val="1"/>
      <w:numFmt w:val="bullet"/>
      <w:lvlText w:val="●"/>
      <w:lvlJc w:val="left"/>
      <w:pPr>
        <w:ind w:left="5040" w:hanging="360"/>
      </w:pPr>
    </w:lvl>
    <w:lvl w:ilvl="7" w:tplc="522A9FEE">
      <w:start w:val="1"/>
      <w:numFmt w:val="bullet"/>
      <w:lvlText w:val="●"/>
      <w:lvlJc w:val="left"/>
      <w:pPr>
        <w:ind w:left="5760" w:hanging="360"/>
      </w:pPr>
    </w:lvl>
    <w:lvl w:ilvl="8" w:tplc="1714992E">
      <w:start w:val="1"/>
      <w:numFmt w:val="bullet"/>
      <w:lvlText w:val="●"/>
      <w:lvlJc w:val="left"/>
      <w:pPr>
        <w:ind w:left="6480" w:hanging="360"/>
      </w:pPr>
    </w:lvl>
  </w:abstractNum>
  <w:num w:numId="1" w16cid:durableId="1034421273">
    <w:abstractNumId w:val="1"/>
    <w:lvlOverride w:ilvl="0">
      <w:startOverride w:val="1"/>
    </w:lvlOverride>
  </w:num>
  <w:num w:numId="2" w16cid:durableId="131861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29"/>
    <w:rsid w:val="000209CF"/>
    <w:rsid w:val="001F4A29"/>
    <w:rsid w:val="0033788F"/>
    <w:rsid w:val="00346D51"/>
    <w:rsid w:val="005C5C0C"/>
    <w:rsid w:val="00852C13"/>
    <w:rsid w:val="00BC3610"/>
    <w:rsid w:val="00D8351F"/>
    <w:rsid w:val="00E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1193"/>
  <w15:docId w15:val="{D8126A3B-5F3A-4450-841E-DA9628DC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780</Words>
  <Characters>4215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ΚΩΝ/ΝΟΣ ΓΑΛΑΝΗΣ</cp:lastModifiedBy>
  <cp:revision>5</cp:revision>
  <dcterms:created xsi:type="dcterms:W3CDTF">2026-03-16T16:24:00Z</dcterms:created>
  <dcterms:modified xsi:type="dcterms:W3CDTF">2026-03-17T15:20:00Z</dcterms:modified>
</cp:coreProperties>
</file>