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ADEC" w14:textId="77777777" w:rsidR="00DF0D22" w:rsidRPr="00DF0D22" w:rsidRDefault="00DF0D22" w:rsidP="00DF0D22">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Calibri" w:eastAsia="Times New Roman" w:hAnsi="Calibri" w:cs="Calibri"/>
          <w:b/>
          <w:color w:val="002060"/>
          <w:kern w:val="0"/>
          <w:szCs w:val="22"/>
          <w:lang w:eastAsia="zh-CN"/>
          <w14:ligatures w14:val="none"/>
        </w:rPr>
      </w:pPr>
      <w:bookmarkStart w:id="0" w:name="_Toc224807530"/>
      <w:r w:rsidRPr="00DF0D22">
        <w:rPr>
          <w:rFonts w:ascii="Calibri" w:eastAsia="Times New Roman" w:hAnsi="Calibri" w:cs="Calibri"/>
          <w:b/>
          <w:color w:val="002060"/>
          <w:kern w:val="0"/>
          <w:szCs w:val="22"/>
          <w:lang w:eastAsia="zh-CN"/>
          <w14:ligatures w14:val="none"/>
        </w:rPr>
        <w:t xml:space="preserve">ΠΑΡΑΡΤΗΜΑ </w:t>
      </w:r>
      <w:r w:rsidRPr="00DF0D22">
        <w:rPr>
          <w:rFonts w:ascii="Calibri" w:eastAsia="Times New Roman" w:hAnsi="Calibri" w:cs="Calibri"/>
          <w:b/>
          <w:color w:val="002060"/>
          <w:kern w:val="0"/>
          <w:szCs w:val="22"/>
          <w:lang w:val="en-US" w:eastAsia="zh-CN"/>
          <w14:ligatures w14:val="none"/>
        </w:rPr>
        <w:t>I</w:t>
      </w:r>
      <w:r w:rsidRPr="00DF0D22">
        <w:rPr>
          <w:rFonts w:ascii="Calibri" w:eastAsia="Times New Roman" w:hAnsi="Calibri" w:cs="Calibri"/>
          <w:b/>
          <w:color w:val="002060"/>
          <w:kern w:val="0"/>
          <w:szCs w:val="22"/>
          <w:lang w:eastAsia="zh-CN"/>
          <w14:ligatures w14:val="none"/>
        </w:rPr>
        <w:t>V – Υπόδειγμα Τεχνικής Προσφοράς</w:t>
      </w:r>
      <w:bookmarkEnd w:id="0"/>
    </w:p>
    <w:tbl>
      <w:tblPr>
        <w:tblStyle w:val="aa"/>
        <w:tblW w:w="0" w:type="auto"/>
        <w:jc w:val="center"/>
        <w:tblLook w:val="04A0" w:firstRow="1" w:lastRow="0" w:firstColumn="1" w:lastColumn="0" w:noHBand="0" w:noVBand="1"/>
      </w:tblPr>
      <w:tblGrid>
        <w:gridCol w:w="5610"/>
        <w:gridCol w:w="1170"/>
        <w:gridCol w:w="1257"/>
        <w:gridCol w:w="1591"/>
      </w:tblGrid>
      <w:tr w:rsidR="00DF0D22" w:rsidRPr="00DF0D22" w14:paraId="084BB511" w14:textId="77777777" w:rsidTr="001955E2">
        <w:trPr>
          <w:trHeight w:val="761"/>
          <w:jc w:val="center"/>
        </w:trPr>
        <w:tc>
          <w:tcPr>
            <w:tcW w:w="0" w:type="auto"/>
            <w:shd w:val="pct25" w:color="auto" w:fill="auto"/>
            <w:vAlign w:val="center"/>
          </w:tcPr>
          <w:p w14:paraId="03B11E84" w14:textId="77777777" w:rsidR="00DF0D22" w:rsidRPr="00DF0D22" w:rsidRDefault="00DF0D22" w:rsidP="00DF0D22">
            <w:pPr>
              <w:suppressAutoHyphens/>
              <w:jc w:val="center"/>
              <w:rPr>
                <w:rFonts w:ascii="Calibri" w:hAnsi="Calibri" w:cs="Calibri"/>
                <w:b/>
                <w:bCs/>
                <w:sz w:val="22"/>
                <w:szCs w:val="22"/>
                <w:lang w:eastAsia="zh-CN"/>
              </w:rPr>
            </w:pPr>
            <w:r w:rsidRPr="00DF0D22">
              <w:rPr>
                <w:rFonts w:ascii="Calibri" w:hAnsi="Calibri" w:cs="Calibri"/>
                <w:b/>
                <w:bCs/>
                <w:sz w:val="22"/>
                <w:szCs w:val="22"/>
                <w:lang w:eastAsia="zh-CN"/>
              </w:rPr>
              <w:t>ΧΑΡΑΚΤΗΡΙΣΤΙΚΑ</w:t>
            </w:r>
          </w:p>
        </w:tc>
        <w:tc>
          <w:tcPr>
            <w:tcW w:w="0" w:type="auto"/>
            <w:shd w:val="pct25" w:color="auto" w:fill="auto"/>
            <w:vAlign w:val="center"/>
          </w:tcPr>
          <w:p w14:paraId="3CEC5118" w14:textId="77777777" w:rsidR="00DF0D22" w:rsidRPr="00DF0D22" w:rsidRDefault="00DF0D22" w:rsidP="00DF0D22">
            <w:pPr>
              <w:suppressAutoHyphens/>
              <w:jc w:val="center"/>
              <w:rPr>
                <w:rFonts w:ascii="Calibri" w:hAnsi="Calibri" w:cs="Calibri"/>
                <w:b/>
                <w:bCs/>
                <w:sz w:val="22"/>
                <w:szCs w:val="22"/>
                <w:lang w:eastAsia="zh-CN"/>
              </w:rPr>
            </w:pPr>
            <w:r w:rsidRPr="00DF0D22">
              <w:rPr>
                <w:rFonts w:ascii="Calibri" w:hAnsi="Calibri" w:cs="Calibri"/>
                <w:b/>
                <w:bCs/>
                <w:sz w:val="22"/>
                <w:szCs w:val="22"/>
                <w:lang w:eastAsia="zh-CN"/>
              </w:rPr>
              <w:t>ΑΠΑΙΤΗΣΗ</w:t>
            </w:r>
          </w:p>
        </w:tc>
        <w:tc>
          <w:tcPr>
            <w:tcW w:w="0" w:type="auto"/>
            <w:shd w:val="pct25" w:color="auto" w:fill="auto"/>
            <w:vAlign w:val="center"/>
          </w:tcPr>
          <w:p w14:paraId="50EFE6D3" w14:textId="77777777" w:rsidR="00DF0D22" w:rsidRPr="00DF0D22" w:rsidRDefault="00DF0D22" w:rsidP="00DF0D22">
            <w:pPr>
              <w:suppressAutoHyphens/>
              <w:jc w:val="center"/>
              <w:rPr>
                <w:rFonts w:ascii="Calibri" w:hAnsi="Calibri" w:cs="Calibri"/>
                <w:b/>
                <w:bCs/>
                <w:sz w:val="22"/>
                <w:szCs w:val="22"/>
                <w:lang w:eastAsia="zh-CN"/>
              </w:rPr>
            </w:pPr>
            <w:r w:rsidRPr="00DF0D22">
              <w:rPr>
                <w:rFonts w:ascii="Calibri" w:hAnsi="Calibri" w:cs="Calibri"/>
                <w:b/>
                <w:bCs/>
                <w:sz w:val="22"/>
                <w:szCs w:val="22"/>
                <w:lang w:eastAsia="zh-CN"/>
              </w:rPr>
              <w:t>ΑΠΑΝΤΗΣΗ</w:t>
            </w:r>
          </w:p>
        </w:tc>
        <w:tc>
          <w:tcPr>
            <w:tcW w:w="0" w:type="auto"/>
            <w:shd w:val="pct25" w:color="auto" w:fill="auto"/>
            <w:vAlign w:val="center"/>
          </w:tcPr>
          <w:p w14:paraId="1E771614" w14:textId="77777777" w:rsidR="00DF0D22" w:rsidRPr="00DF0D22" w:rsidRDefault="00DF0D22" w:rsidP="00DF0D22">
            <w:pPr>
              <w:suppressAutoHyphens/>
              <w:jc w:val="center"/>
              <w:rPr>
                <w:rFonts w:ascii="Calibri" w:hAnsi="Calibri" w:cs="Calibri"/>
                <w:b/>
                <w:bCs/>
                <w:sz w:val="22"/>
                <w:szCs w:val="22"/>
                <w:lang w:eastAsia="zh-CN"/>
              </w:rPr>
            </w:pPr>
            <w:r w:rsidRPr="00DF0D22">
              <w:rPr>
                <w:rFonts w:ascii="Calibri" w:hAnsi="Calibri" w:cs="Calibri"/>
                <w:b/>
                <w:bCs/>
                <w:sz w:val="22"/>
                <w:szCs w:val="22"/>
                <w:lang w:eastAsia="zh-CN"/>
              </w:rPr>
              <w:t>ΠΑΡΑΠΟΜΠΗ/</w:t>
            </w:r>
          </w:p>
          <w:p w14:paraId="5996C68B" w14:textId="77777777" w:rsidR="00DF0D22" w:rsidRPr="00DF0D22" w:rsidRDefault="00DF0D22" w:rsidP="00DF0D22">
            <w:pPr>
              <w:suppressAutoHyphens/>
              <w:jc w:val="center"/>
              <w:rPr>
                <w:rFonts w:ascii="Calibri" w:hAnsi="Calibri" w:cs="Calibri"/>
                <w:b/>
                <w:bCs/>
                <w:sz w:val="22"/>
                <w:szCs w:val="22"/>
                <w:lang w:eastAsia="zh-CN"/>
              </w:rPr>
            </w:pPr>
            <w:r w:rsidRPr="00DF0D22">
              <w:rPr>
                <w:rFonts w:ascii="Calibri" w:hAnsi="Calibri" w:cs="Calibri"/>
                <w:b/>
                <w:bCs/>
                <w:sz w:val="22"/>
                <w:szCs w:val="22"/>
                <w:lang w:eastAsia="zh-CN"/>
              </w:rPr>
              <w:t>ΠΑΡΑΤΗΡΗΣΗ</w:t>
            </w:r>
          </w:p>
        </w:tc>
      </w:tr>
      <w:tr w:rsidR="00DF0D22" w:rsidRPr="00DF0D22" w14:paraId="7E7117BE" w14:textId="77777777" w:rsidTr="001955E2">
        <w:trPr>
          <w:jc w:val="center"/>
        </w:trPr>
        <w:tc>
          <w:tcPr>
            <w:tcW w:w="0" w:type="auto"/>
            <w:vAlign w:val="center"/>
          </w:tcPr>
          <w:p w14:paraId="5B6DF63C"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Διάθεση κατάλληλου εκτός δρόμου οχήματος 4Χ4 για την πρόσβαση και προσέγγιση στο χώρο των ορυχείων</w:t>
            </w:r>
          </w:p>
        </w:tc>
        <w:tc>
          <w:tcPr>
            <w:tcW w:w="0" w:type="auto"/>
            <w:vAlign w:val="center"/>
          </w:tcPr>
          <w:p w14:paraId="248C4A51"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350BDC32"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230B2AAE" w14:textId="77777777" w:rsidR="00DF0D22" w:rsidRPr="00DF0D22" w:rsidRDefault="00DF0D22" w:rsidP="00DF0D22">
            <w:pPr>
              <w:suppressAutoHyphens/>
              <w:jc w:val="center"/>
              <w:rPr>
                <w:rFonts w:ascii="Calibri" w:hAnsi="Calibri" w:cs="Calibri"/>
                <w:sz w:val="22"/>
                <w:szCs w:val="22"/>
                <w:lang w:eastAsia="zh-CN"/>
              </w:rPr>
            </w:pPr>
          </w:p>
        </w:tc>
      </w:tr>
      <w:tr w:rsidR="00DF0D22" w:rsidRPr="00DF0D22" w14:paraId="61991856" w14:textId="77777777" w:rsidTr="001955E2">
        <w:trPr>
          <w:jc w:val="center"/>
        </w:trPr>
        <w:tc>
          <w:tcPr>
            <w:tcW w:w="0" w:type="auto"/>
            <w:vAlign w:val="center"/>
          </w:tcPr>
          <w:p w14:paraId="53A8DF9D"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 xml:space="preserve">Σύστημα συλλογής και καταγραφής της ημερομηνία και ώρας έναρξης και λήξης κάθε επιθεώρησης με </w:t>
            </w:r>
            <w:r w:rsidRPr="00DF0D22">
              <w:rPr>
                <w:rFonts w:ascii="Calibri" w:hAnsi="Calibri" w:cs="Calibri"/>
                <w:sz w:val="22"/>
                <w:lang w:val="en-US" w:eastAsia="zh-CN"/>
              </w:rPr>
              <w:t>checkpoints</w:t>
            </w:r>
            <w:r w:rsidRPr="00DF0D22">
              <w:rPr>
                <w:rFonts w:ascii="Calibri" w:hAnsi="Calibri" w:cs="Calibri"/>
                <w:sz w:val="22"/>
                <w:lang w:eastAsia="zh-CN"/>
              </w:rPr>
              <w:t xml:space="preserve"> στις θέσεις που θα υποδειχθούν από την Υπηρεσία</w:t>
            </w:r>
          </w:p>
        </w:tc>
        <w:tc>
          <w:tcPr>
            <w:tcW w:w="0" w:type="auto"/>
            <w:vAlign w:val="center"/>
          </w:tcPr>
          <w:p w14:paraId="1097732A"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1D29BFAB"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65AAB971" w14:textId="77777777" w:rsidR="00DF0D22" w:rsidRPr="00DF0D22" w:rsidRDefault="00DF0D22" w:rsidP="00DF0D22">
            <w:pPr>
              <w:suppressAutoHyphens/>
              <w:jc w:val="center"/>
              <w:rPr>
                <w:rFonts w:ascii="Calibri" w:hAnsi="Calibri" w:cs="Calibri"/>
                <w:sz w:val="22"/>
                <w:szCs w:val="22"/>
                <w:lang w:eastAsia="zh-CN"/>
              </w:rPr>
            </w:pPr>
          </w:p>
        </w:tc>
      </w:tr>
      <w:tr w:rsidR="00DF0D22" w:rsidRPr="00DF0D22" w14:paraId="5C6CB30E" w14:textId="77777777" w:rsidTr="001955E2">
        <w:trPr>
          <w:jc w:val="center"/>
        </w:trPr>
        <w:tc>
          <w:tcPr>
            <w:tcW w:w="0" w:type="auto"/>
            <w:vAlign w:val="center"/>
          </w:tcPr>
          <w:p w14:paraId="494797D9"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 xml:space="preserve">Σύστημα παρακολούθησης σε πραγματικό χρόνο, καταγραφής της διενέργειας των επιθεωρήσεων, συλλογής στοιχείων και εξαγωγής αναφορών καθώς και γεωγραφικής απεικόνισης των διαδρομών καθώς και χορήγηση δικαιωμάτων πρόσβασης στις σχετικές πλατφόρμες προς την Υπηρεσία </w:t>
            </w:r>
          </w:p>
        </w:tc>
        <w:tc>
          <w:tcPr>
            <w:tcW w:w="0" w:type="auto"/>
            <w:vAlign w:val="center"/>
          </w:tcPr>
          <w:p w14:paraId="5A993C4B"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43AAE8A1"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0EAB4B19" w14:textId="77777777" w:rsidR="00DF0D22" w:rsidRPr="00DF0D22" w:rsidRDefault="00DF0D22" w:rsidP="00DF0D22">
            <w:pPr>
              <w:suppressAutoHyphens/>
              <w:jc w:val="center"/>
              <w:rPr>
                <w:rFonts w:ascii="Calibri" w:hAnsi="Calibri" w:cs="Calibri"/>
                <w:sz w:val="22"/>
                <w:szCs w:val="22"/>
                <w:lang w:eastAsia="zh-CN"/>
              </w:rPr>
            </w:pPr>
          </w:p>
        </w:tc>
      </w:tr>
      <w:tr w:rsidR="00DF0D22" w:rsidRPr="00DF0D22" w14:paraId="66909485" w14:textId="77777777" w:rsidTr="001955E2">
        <w:trPr>
          <w:trHeight w:val="704"/>
          <w:jc w:val="center"/>
        </w:trPr>
        <w:tc>
          <w:tcPr>
            <w:tcW w:w="0" w:type="auto"/>
            <w:vAlign w:val="center"/>
          </w:tcPr>
          <w:p w14:paraId="511E0A09"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Βιβλίο καταγραφής συμβάντων</w:t>
            </w:r>
          </w:p>
        </w:tc>
        <w:tc>
          <w:tcPr>
            <w:tcW w:w="0" w:type="auto"/>
            <w:vAlign w:val="center"/>
          </w:tcPr>
          <w:p w14:paraId="0873CEF8"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5DD7AF72"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3672A0D3" w14:textId="77777777" w:rsidR="00DF0D22" w:rsidRPr="00DF0D22" w:rsidRDefault="00DF0D22" w:rsidP="00DF0D22">
            <w:pPr>
              <w:suppressAutoHyphens/>
              <w:jc w:val="center"/>
              <w:rPr>
                <w:rFonts w:ascii="Calibri" w:hAnsi="Calibri" w:cs="Calibri"/>
                <w:sz w:val="22"/>
                <w:szCs w:val="22"/>
                <w:lang w:eastAsia="zh-CN"/>
              </w:rPr>
            </w:pPr>
          </w:p>
        </w:tc>
      </w:tr>
      <w:tr w:rsidR="00DF0D22" w:rsidRPr="00DF0D22" w14:paraId="27ADCF9D" w14:textId="77777777" w:rsidTr="001955E2">
        <w:trPr>
          <w:jc w:val="center"/>
        </w:trPr>
        <w:tc>
          <w:tcPr>
            <w:tcW w:w="0" w:type="auto"/>
            <w:vAlign w:val="center"/>
          </w:tcPr>
          <w:p w14:paraId="539E924C"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Ασφαλιστική κάλυψη γενικής αστικής ευθύνης με όριο κάλυψης τουλάχιστον</w:t>
            </w:r>
            <w:r w:rsidRPr="00DF0D22">
              <w:rPr>
                <w:rFonts w:ascii="Calibri" w:hAnsi="Calibri" w:cs="Calibri"/>
                <w:b/>
                <w:bCs/>
                <w:sz w:val="22"/>
                <w:lang w:eastAsia="zh-CN"/>
              </w:rPr>
              <w:t xml:space="preserve"> </w:t>
            </w:r>
            <w:r w:rsidRPr="00DF0D22">
              <w:rPr>
                <w:rFonts w:ascii="Calibri" w:hAnsi="Calibri" w:cs="Calibri"/>
                <w:sz w:val="22"/>
                <w:lang w:eastAsia="zh-CN"/>
              </w:rPr>
              <w:t>€300.000,00 ανά συμβάν</w:t>
            </w:r>
            <w:r w:rsidRPr="00DF0D22">
              <w:rPr>
                <w:rFonts w:ascii="Calibri" w:hAnsi="Calibri" w:cs="Calibri"/>
                <w:b/>
                <w:bCs/>
                <w:sz w:val="22"/>
                <w:lang w:eastAsia="zh-CN"/>
              </w:rPr>
              <w:t xml:space="preserve"> </w:t>
            </w:r>
            <w:r w:rsidRPr="00DF0D22">
              <w:rPr>
                <w:rFonts w:ascii="Calibri" w:hAnsi="Calibri" w:cs="Calibri"/>
                <w:sz w:val="22"/>
                <w:lang w:eastAsia="zh-CN"/>
              </w:rPr>
              <w:t>και €500.000,00 κατ' έτος</w:t>
            </w:r>
          </w:p>
        </w:tc>
        <w:tc>
          <w:tcPr>
            <w:tcW w:w="0" w:type="auto"/>
            <w:vAlign w:val="center"/>
          </w:tcPr>
          <w:p w14:paraId="055F619A"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37300B51"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492EE902" w14:textId="77777777" w:rsidR="00DF0D22" w:rsidRPr="00DF0D22" w:rsidRDefault="00DF0D22" w:rsidP="00DF0D22">
            <w:pPr>
              <w:suppressAutoHyphens/>
              <w:jc w:val="center"/>
              <w:rPr>
                <w:rFonts w:ascii="Calibri" w:hAnsi="Calibri" w:cs="Calibri"/>
                <w:sz w:val="22"/>
                <w:szCs w:val="22"/>
                <w:lang w:eastAsia="zh-CN"/>
              </w:rPr>
            </w:pPr>
          </w:p>
        </w:tc>
      </w:tr>
      <w:tr w:rsidR="00DF0D22" w:rsidRPr="00DF0D22" w14:paraId="2DE00331" w14:textId="77777777" w:rsidTr="001955E2">
        <w:trPr>
          <w:jc w:val="center"/>
        </w:trPr>
        <w:tc>
          <w:tcPr>
            <w:tcW w:w="0" w:type="auto"/>
            <w:vAlign w:val="center"/>
          </w:tcPr>
          <w:p w14:paraId="5202845D" w14:textId="77777777" w:rsidR="00DF0D22" w:rsidRPr="00DF0D22" w:rsidRDefault="00DF0D22" w:rsidP="00DF0D22">
            <w:pPr>
              <w:numPr>
                <w:ilvl w:val="0"/>
                <w:numId w:val="1"/>
              </w:numPr>
              <w:suppressAutoHyphens/>
              <w:autoSpaceDE w:val="0"/>
              <w:spacing w:after="60"/>
              <w:contextualSpacing/>
              <w:jc w:val="both"/>
              <w:rPr>
                <w:rFonts w:ascii="Calibri" w:hAnsi="Calibri" w:cs="Calibri"/>
                <w:sz w:val="22"/>
                <w:lang w:eastAsia="zh-CN"/>
              </w:rPr>
            </w:pPr>
            <w:r w:rsidRPr="00DF0D22">
              <w:rPr>
                <w:rFonts w:ascii="Calibri" w:hAnsi="Calibri" w:cs="Calibri"/>
                <w:sz w:val="22"/>
                <w:lang w:eastAsia="zh-CN"/>
              </w:rPr>
              <w:t>Ασφαλιστική κάλυψη επαγγελματικής αστικής ευθύνης με όριο κάλυψης τουλάχιστον €100.000,00 ανά συμβάν και €200.000,00 κατ' έτος</w:t>
            </w:r>
          </w:p>
        </w:tc>
        <w:tc>
          <w:tcPr>
            <w:tcW w:w="0" w:type="auto"/>
            <w:vAlign w:val="center"/>
          </w:tcPr>
          <w:p w14:paraId="459CC4D1" w14:textId="77777777" w:rsidR="00DF0D22" w:rsidRPr="00DF0D22" w:rsidRDefault="00DF0D22" w:rsidP="00DF0D22">
            <w:pPr>
              <w:suppressAutoHyphens/>
              <w:jc w:val="center"/>
              <w:rPr>
                <w:rFonts w:ascii="Calibri" w:hAnsi="Calibri" w:cs="Calibri"/>
                <w:sz w:val="22"/>
                <w:szCs w:val="22"/>
                <w:lang w:eastAsia="zh-CN"/>
              </w:rPr>
            </w:pPr>
            <w:r w:rsidRPr="00DF0D22">
              <w:rPr>
                <w:rFonts w:ascii="Calibri" w:hAnsi="Calibri" w:cs="Calibri"/>
                <w:sz w:val="22"/>
                <w:szCs w:val="22"/>
                <w:lang w:eastAsia="zh-CN"/>
              </w:rPr>
              <w:t>ΝΑΙ</w:t>
            </w:r>
          </w:p>
        </w:tc>
        <w:tc>
          <w:tcPr>
            <w:tcW w:w="0" w:type="auto"/>
            <w:vAlign w:val="center"/>
          </w:tcPr>
          <w:p w14:paraId="2A376862" w14:textId="77777777" w:rsidR="00DF0D22" w:rsidRPr="00DF0D22" w:rsidRDefault="00DF0D22" w:rsidP="00DF0D22">
            <w:pPr>
              <w:suppressAutoHyphens/>
              <w:jc w:val="center"/>
              <w:rPr>
                <w:rFonts w:ascii="Calibri" w:hAnsi="Calibri" w:cs="Calibri"/>
                <w:sz w:val="22"/>
                <w:szCs w:val="22"/>
                <w:lang w:eastAsia="zh-CN"/>
              </w:rPr>
            </w:pPr>
          </w:p>
        </w:tc>
        <w:tc>
          <w:tcPr>
            <w:tcW w:w="0" w:type="auto"/>
            <w:vAlign w:val="center"/>
          </w:tcPr>
          <w:p w14:paraId="2AAC4501" w14:textId="77777777" w:rsidR="00DF0D22" w:rsidRPr="00DF0D22" w:rsidRDefault="00DF0D22" w:rsidP="00DF0D22">
            <w:pPr>
              <w:suppressAutoHyphens/>
              <w:jc w:val="center"/>
              <w:rPr>
                <w:rFonts w:ascii="Calibri" w:hAnsi="Calibri" w:cs="Calibri"/>
                <w:sz w:val="22"/>
                <w:szCs w:val="22"/>
                <w:lang w:eastAsia="zh-CN"/>
              </w:rPr>
            </w:pPr>
          </w:p>
        </w:tc>
      </w:tr>
    </w:tbl>
    <w:p w14:paraId="657291CA" w14:textId="77777777" w:rsidR="00106B8B" w:rsidRDefault="00106B8B"/>
    <w:sectPr w:rsidR="00106B8B" w:rsidSect="00DF0D22">
      <w:footerReference w:type="default" r:id="rId7"/>
      <w:pgSz w:w="11906" w:h="16838"/>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9E3F" w14:textId="77777777" w:rsidR="00293AD2" w:rsidRDefault="00293AD2" w:rsidP="00DF0D22">
      <w:pPr>
        <w:spacing w:after="0" w:line="240" w:lineRule="auto"/>
      </w:pPr>
      <w:r>
        <w:separator/>
      </w:r>
    </w:p>
  </w:endnote>
  <w:endnote w:type="continuationSeparator" w:id="0">
    <w:p w14:paraId="0FCBA46A" w14:textId="77777777" w:rsidR="00293AD2" w:rsidRDefault="00293AD2" w:rsidP="00DF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E08D" w14:textId="4A679C36" w:rsidR="00DF0D22" w:rsidRDefault="00DF0D22">
    <w:pPr>
      <w:pStyle w:val="ac"/>
    </w:pPr>
    <w:r>
      <w:rPr>
        <w:rFonts w:ascii="Aptos" w:hAnsi="Aptos"/>
        <w:noProof/>
      </w:rPr>
      <w:drawing>
        <wp:inline distT="0" distB="0" distL="0" distR="0" wp14:anchorId="7FC2A5D0" wp14:editId="696022C2">
          <wp:extent cx="2085975" cy="609600"/>
          <wp:effectExtent l="0" t="0" r="9525" b="0"/>
          <wp:docPr id="862609074" name="Εικόνα 3" descr="Αποκεντρωμένη Διοίκηση Ηπείρου - Δυτικής Μακεδο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ποκεντρωμένη Διοίκηση Ηπείρου - Δυτικής Μακεδονίας"/>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5975" cy="609600"/>
                  </a:xfrm>
                  <a:prstGeom prst="rect">
                    <a:avLst/>
                  </a:prstGeom>
                  <a:noFill/>
                  <a:ln>
                    <a:noFill/>
                  </a:ln>
                </pic:spPr>
              </pic:pic>
            </a:graphicData>
          </a:graphic>
        </wp:inline>
      </w:drawing>
    </w:r>
    <w:r>
      <w:rPr>
        <w:lang w:val="en-US"/>
      </w:rPr>
      <w:tab/>
    </w:r>
    <w:r>
      <w:rPr>
        <w:lang w:val="en-US"/>
      </w:rPr>
      <w:tab/>
      <w:t xml:space="preserve">                        </w:t>
    </w:r>
    <w:r>
      <w:rPr>
        <w:noProof/>
      </w:rPr>
      <w:drawing>
        <wp:inline distT="0" distB="0" distL="0" distR="0" wp14:anchorId="19487F06" wp14:editId="0D3DC6C6">
          <wp:extent cx="1699683" cy="495935"/>
          <wp:effectExtent l="0" t="0" r="0" b="0"/>
          <wp:docPr id="1812276708" name="Εικόνα 1"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84963" cy="5208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E210" w14:textId="77777777" w:rsidR="00293AD2" w:rsidRDefault="00293AD2" w:rsidP="00DF0D22">
      <w:pPr>
        <w:spacing w:after="0" w:line="240" w:lineRule="auto"/>
      </w:pPr>
      <w:r>
        <w:separator/>
      </w:r>
    </w:p>
  </w:footnote>
  <w:footnote w:type="continuationSeparator" w:id="0">
    <w:p w14:paraId="0370C9CC" w14:textId="77777777" w:rsidR="00293AD2" w:rsidRDefault="00293AD2" w:rsidP="00DF0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C4977"/>
    <w:multiLevelType w:val="hybridMultilevel"/>
    <w:tmpl w:val="2A8C8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189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22"/>
    <w:rsid w:val="00106B8B"/>
    <w:rsid w:val="00177AF2"/>
    <w:rsid w:val="00293AD2"/>
    <w:rsid w:val="00DB1EC8"/>
    <w:rsid w:val="00DF0D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BBF5"/>
  <w15:chartTrackingRefBased/>
  <w15:docId w15:val="{7F06EE64-2E12-48A7-9CF7-8BE7CD68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F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F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F0D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F0D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F0D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F0D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F0D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F0D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F0D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F0D2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F0D2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F0D2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F0D2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F0D2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F0D2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F0D2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F0D2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F0D22"/>
    <w:rPr>
      <w:rFonts w:eastAsiaTheme="majorEastAsia" w:cstheme="majorBidi"/>
      <w:color w:val="272727" w:themeColor="text1" w:themeTint="D8"/>
    </w:rPr>
  </w:style>
  <w:style w:type="paragraph" w:styleId="a3">
    <w:name w:val="Title"/>
    <w:basedOn w:val="a"/>
    <w:next w:val="a"/>
    <w:link w:val="Char"/>
    <w:uiPriority w:val="10"/>
    <w:qFormat/>
    <w:rsid w:val="00DF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F0D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F0D2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F0D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F0D22"/>
    <w:pPr>
      <w:spacing w:before="160"/>
      <w:jc w:val="center"/>
    </w:pPr>
    <w:rPr>
      <w:i/>
      <w:iCs/>
      <w:color w:val="404040" w:themeColor="text1" w:themeTint="BF"/>
    </w:rPr>
  </w:style>
  <w:style w:type="character" w:customStyle="1" w:styleId="Char1">
    <w:name w:val="Απόσπασμα Char"/>
    <w:basedOn w:val="a0"/>
    <w:link w:val="a5"/>
    <w:uiPriority w:val="29"/>
    <w:rsid w:val="00DF0D22"/>
    <w:rPr>
      <w:i/>
      <w:iCs/>
      <w:color w:val="404040" w:themeColor="text1" w:themeTint="BF"/>
    </w:rPr>
  </w:style>
  <w:style w:type="paragraph" w:styleId="a6">
    <w:name w:val="List Paragraph"/>
    <w:basedOn w:val="a"/>
    <w:uiPriority w:val="34"/>
    <w:qFormat/>
    <w:rsid w:val="00DF0D22"/>
    <w:pPr>
      <w:ind w:left="720"/>
      <w:contextualSpacing/>
    </w:pPr>
  </w:style>
  <w:style w:type="character" w:styleId="a7">
    <w:name w:val="Intense Emphasis"/>
    <w:basedOn w:val="a0"/>
    <w:uiPriority w:val="21"/>
    <w:qFormat/>
    <w:rsid w:val="00DF0D22"/>
    <w:rPr>
      <w:i/>
      <w:iCs/>
      <w:color w:val="0F4761" w:themeColor="accent1" w:themeShade="BF"/>
    </w:rPr>
  </w:style>
  <w:style w:type="paragraph" w:styleId="a8">
    <w:name w:val="Intense Quote"/>
    <w:basedOn w:val="a"/>
    <w:next w:val="a"/>
    <w:link w:val="Char2"/>
    <w:uiPriority w:val="30"/>
    <w:qFormat/>
    <w:rsid w:val="00DF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F0D22"/>
    <w:rPr>
      <w:i/>
      <w:iCs/>
      <w:color w:val="0F4761" w:themeColor="accent1" w:themeShade="BF"/>
    </w:rPr>
  </w:style>
  <w:style w:type="character" w:styleId="a9">
    <w:name w:val="Intense Reference"/>
    <w:basedOn w:val="a0"/>
    <w:uiPriority w:val="32"/>
    <w:qFormat/>
    <w:rsid w:val="00DF0D22"/>
    <w:rPr>
      <w:b/>
      <w:bCs/>
      <w:smallCaps/>
      <w:color w:val="0F4761" w:themeColor="accent1" w:themeShade="BF"/>
      <w:spacing w:val="5"/>
    </w:rPr>
  </w:style>
  <w:style w:type="table" w:styleId="aa">
    <w:name w:val="Table Grid"/>
    <w:basedOn w:val="a1"/>
    <w:rsid w:val="00DF0D22"/>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DF0D22"/>
    <w:pPr>
      <w:tabs>
        <w:tab w:val="center" w:pos="4153"/>
        <w:tab w:val="right" w:pos="8306"/>
      </w:tabs>
      <w:spacing w:after="0" w:line="240" w:lineRule="auto"/>
    </w:pPr>
  </w:style>
  <w:style w:type="character" w:customStyle="1" w:styleId="Char3">
    <w:name w:val="Κεφαλίδα Char"/>
    <w:basedOn w:val="a0"/>
    <w:link w:val="ab"/>
    <w:uiPriority w:val="99"/>
    <w:rsid w:val="00DF0D22"/>
  </w:style>
  <w:style w:type="paragraph" w:styleId="ac">
    <w:name w:val="footer"/>
    <w:basedOn w:val="a"/>
    <w:link w:val="Char4"/>
    <w:uiPriority w:val="99"/>
    <w:unhideWhenUsed/>
    <w:rsid w:val="00DF0D22"/>
    <w:pPr>
      <w:tabs>
        <w:tab w:val="center" w:pos="4153"/>
        <w:tab w:val="right" w:pos="8306"/>
      </w:tabs>
      <w:spacing w:after="0" w:line="240" w:lineRule="auto"/>
    </w:pPr>
  </w:style>
  <w:style w:type="character" w:customStyle="1" w:styleId="Char4">
    <w:name w:val="Υποσέλιδο Char"/>
    <w:basedOn w:val="a0"/>
    <w:link w:val="ac"/>
    <w:uiPriority w:val="99"/>
    <w:rsid w:val="00DF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CB2D7.EA6EB970" TargetMode="External"/><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789</Characters>
  <Application>Microsoft Office Word</Application>
  <DocSecurity>0</DocSecurity>
  <Lines>6</Lines>
  <Paragraphs>1</Paragraphs>
  <ScaleCrop>false</ScaleCrop>
  <Company>Hewlett-Packard Company</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ΚΩΝ/ΝΟΣ ΓΑΛΑΝΗΣ</dc:creator>
  <cp:keywords/>
  <dc:description/>
  <cp:lastModifiedBy>ΚΩΝ/ΝΟΣ ΓΑΛΑΝΗΣ</cp:lastModifiedBy>
  <cp:revision>1</cp:revision>
  <dcterms:created xsi:type="dcterms:W3CDTF">2026-03-19T13:02:00Z</dcterms:created>
  <dcterms:modified xsi:type="dcterms:W3CDTF">2026-03-19T13:05:00Z</dcterms:modified>
</cp:coreProperties>
</file>